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176</w:t>
      </w:r>
    </w:p>
    <w:p>
      <w:r>
        <w:t>Bundesgericht (BGE), 1977-09-30, FR</w:t>
      </w:r>
    </w:p>
    <w:p>
      <w:r>
        <w:rPr>
          <w:b/>
        </w:rPr>
        <w:t xml:space="preserve">Quelle: </w:t>
      </w:r>
      <w:r>
        <w:t>https://mcp.opencaselaw.ch/entscheid/bge_103 IV 176</w:t>
      </w:r>
    </w:p>
    <w:p>
      <w:r>
        <w:t>FR: ATF 103 IV 176</w:t>
      </w:r>
    </w:p>
    <w:p>
      <w:r>
        <w:t>IT: DTF 103 IV 176</w:t>
      </w:r>
    </w:p>
    <w:p>
      <w:pPr>
        <w:pStyle w:val="Heading2"/>
      </w:pPr>
      <w:r>
        <w:t>Regeste</w:t>
      </w:r>
    </w:p>
    <w:p>
      <w:r>
        <w:t>Regeste Art. 251 StGB. Die in Art. 957 OR vorgeschriebene Buchhaltung ist von Gesetzes wegen Mittel zum Beweis zivilrechtlicher Verhältnisse, unabhängig davon, welchen besonderen Zwecken sie dem Buchführungspflichtigen dient. Art. 251 StGB ist daher auch anwendbar, wenn eine Fälschung ausschliesslich zum Zweck der Steuerhinterziehung vorgenommen wird.</w:t>
      </w:r>
    </w:p>
    <w:p>
      <w:pPr>
        <w:pStyle w:val="Heading2"/>
      </w:pPr>
      <w:r>
        <w:t>Erwägungen</w:t>
      </w:r>
    </w:p>
    <w:p>
      <w:r>
        <w:rPr>
          <w:b/>
        </w:rPr>
        <w:t>E. 2</w:t>
      </w:r>
    </w:p>
    <w:p>
      <w:r>
        <w:t>a) En qualité d'administrateur délégué de la Société X., K. a ouvert, en septembre 1962, auprès de la société Y., un compte numéroté pour l'exploitation duquel il avait la signature individuelle. Il a utilisé ce compte, alimenté par les débiteurs de la première société, principalement à fournir des compléments de rétribution "hors fiscalité" tant à lui-même qu'à C., le président du conseil d'administration. Ce "compte noir" était géré en dehors de la comptabilité de la société et sans apparaître dans les livres de celle-ci. Selon l'autorité cantonale, un tel procédé réaliserait sans doute objectivement l'infraction de faux dans les titres, mais, d'une part, le dessein de porter atteinte aux intérêts pécuniaires de tiers ne serait pas suffisamment établi et, d'autre part, la caisse noire aurait été constituée et exploitée pour abuser le fisc en permettant à ses bénéficiaires d'éluder les BGE 103 IV 176 S. 177 impôts sur le revenu. Une falsification de document destinée exclusivement à tromper le fisc ne serait pas réprimée par l' art. 251 CP , mais seulement par les dispositions pénales particulières du droit fiscal. b) Le Ministère public fait valoir que lorsqu'un écrit est objectivement destiné par la loi ou par sa nature à servir de preuve, comme la comptabilité même non commerciale, cette destination et non le but poursuivi par l'auteur, entraîne l'application du droit commun à l'exclusion du droit fiscal cantonal ou fédéral. Ce point de vue, conforme à une jurisprudence déjà ancienne et qui n'a pas été démentie ( ATF 101 IV 57 consid. 1b et cit.), est justifié. La comptabilité que doivent tenir les personnes qui ont l'obligation de faire inscrire leur raison au registre du commerce ( art. 957 CO ) est destinée par la loi à servir de preuve dans les relations de droit civil, indépendamment des buts particuliers que peut lui assigner celui qui la tient (cf. arrêt précité ATF 101 IV 57 consid. 1c et cit.). L' art. 251 CP est donc applicable en cas de falsification de cette comptabilité, même si elle n'est intervenue que dans un dessein de fraude fiscale. Lorsque les mouvements d'argent d'une entreprise s'effectuent en partie par l'intermédiaire d'un compte noir, hors comptabilité, cela représente objectivement, comme le relève l'autorité cantonale, un faux dans les titres. Comme, sur le plan subjectif, l'art. 251 réprime l'infraction non seulement lorsque l'auteur a voulu porter atteinte aux intérêts pécuniaires d'autrui ou au droit d'autrui, mais également lorsqu'il a entendu procurer à lui-même ou à un tiers un avantage illicite (voire dans le domaine fiscal), il est sans intérêt de savoir si l'existence d'un dommage causé à autrui est suffisamment établie, dès lors que la volonté d'éluder une part de l'impôt sur le revenu, qui n'est pas contestée, suffit à réaliser l'élément subjectif de l'infraction.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